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59" w:rsidRPr="00A80BEF" w:rsidRDefault="008E3759" w:rsidP="00D8672D">
      <w:pPr>
        <w:rPr>
          <w:rFonts w:ascii="PT Sans" w:hAnsi="PT Sans"/>
          <w:b/>
          <w:sz w:val="24"/>
        </w:rPr>
      </w:pPr>
    </w:p>
    <w:tbl>
      <w:tblPr>
        <w:tblW w:w="10060" w:type="dxa"/>
        <w:tblInd w:w="-520" w:type="dxa"/>
        <w:tblCellMar>
          <w:left w:w="10" w:type="dxa"/>
          <w:right w:w="10" w:type="dxa"/>
        </w:tblCellMar>
        <w:tblLook w:val="04A0" w:firstRow="1" w:lastRow="0" w:firstColumn="1" w:lastColumn="0" w:noHBand="0" w:noVBand="1"/>
      </w:tblPr>
      <w:tblGrid>
        <w:gridCol w:w="5098"/>
        <w:gridCol w:w="1106"/>
        <w:gridCol w:w="1021"/>
        <w:gridCol w:w="850"/>
        <w:gridCol w:w="1040"/>
        <w:gridCol w:w="945"/>
      </w:tblGrid>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rsidR="008E3759" w:rsidRDefault="008E3759" w:rsidP="00D96780">
            <w:pPr>
              <w:spacing w:after="0" w:line="240" w:lineRule="auto"/>
              <w:jc w:val="center"/>
              <w:rPr>
                <w:rFonts w:ascii="PT Sans" w:hAnsi="PT Sans"/>
                <w:b/>
                <w:color w:val="FFFFFF"/>
              </w:rPr>
            </w:pPr>
            <w:r>
              <w:rPr>
                <w:rFonts w:ascii="PT Sans" w:hAnsi="PT Sans"/>
                <w:b/>
                <w:color w:val="FFFFFF"/>
              </w:rPr>
              <w:t>Screening</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rsidR="008E3759" w:rsidRPr="00145DA7" w:rsidRDefault="008E3759" w:rsidP="00D96780">
            <w:pPr>
              <w:spacing w:after="0" w:line="240" w:lineRule="auto"/>
              <w:jc w:val="center"/>
              <w:rPr>
                <w:rFonts w:ascii="PT Sans" w:hAnsi="PT Sans"/>
                <w:b/>
                <w:color w:val="FFFFFF"/>
              </w:rPr>
            </w:pPr>
            <w:r w:rsidRPr="00145DA7">
              <w:rPr>
                <w:rFonts w:ascii="PT Sans" w:hAnsi="PT Sans"/>
                <w:b/>
                <w:color w:val="FFFFFF"/>
              </w:rPr>
              <w:t xml:space="preserve">Please provide explanatory comments </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8E3759">
            <w:pPr>
              <w:pStyle w:val="ListParagraph"/>
              <w:numPr>
                <w:ilvl w:val="0"/>
                <w:numId w:val="1"/>
              </w:numPr>
              <w:spacing w:after="0" w:line="240" w:lineRule="auto"/>
              <w:rPr>
                <w:rFonts w:ascii="PT Sans" w:hAnsi="PT Sans"/>
              </w:rPr>
            </w:pPr>
            <w:r>
              <w:rPr>
                <w:rFonts w:ascii="PT Sans" w:hAnsi="PT Sans"/>
              </w:rPr>
              <w:t>What activity is being analysed?</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3E6EE3" w:rsidP="00D96780">
            <w:pPr>
              <w:spacing w:after="0" w:line="240" w:lineRule="auto"/>
              <w:rPr>
                <w:rFonts w:ascii="PT Sans" w:hAnsi="PT Sans"/>
              </w:rPr>
            </w:pPr>
            <w:r>
              <w:rPr>
                <w:rFonts w:ascii="PT Sans" w:hAnsi="PT Sans"/>
              </w:rPr>
              <w:t xml:space="preserve">The annual review of the </w:t>
            </w:r>
            <w:r w:rsidRPr="003E6EE3">
              <w:rPr>
                <w:rFonts w:ascii="PT Sans" w:hAnsi="PT Sans"/>
              </w:rPr>
              <w:t xml:space="preserve"> Accommodation Bookings Policy and Procedures</w:t>
            </w:r>
            <w:r>
              <w:rPr>
                <w:rFonts w:ascii="PT Sans" w:hAnsi="PT Sans"/>
              </w:rPr>
              <w:t xml:space="preserve"> document</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8E3759">
            <w:pPr>
              <w:pStyle w:val="ListParagraph"/>
              <w:numPr>
                <w:ilvl w:val="0"/>
                <w:numId w:val="1"/>
              </w:numPr>
              <w:spacing w:after="0" w:line="240" w:lineRule="auto"/>
              <w:rPr>
                <w:rFonts w:ascii="PT Sans" w:hAnsi="PT Sans"/>
              </w:rPr>
            </w:pPr>
            <w:r>
              <w:rPr>
                <w:rFonts w:ascii="PT Sans" w:hAnsi="PT Sans"/>
              </w:rPr>
              <w:t>Who likely to be affected by the activity?</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3E6EE3" w:rsidP="00D96780">
            <w:pPr>
              <w:spacing w:after="0" w:line="240" w:lineRule="auto"/>
              <w:rPr>
                <w:rFonts w:ascii="PT Sans" w:hAnsi="PT Sans"/>
              </w:rPr>
            </w:pPr>
            <w:r>
              <w:rPr>
                <w:rFonts w:ascii="PT Sans" w:hAnsi="PT Sans"/>
              </w:rPr>
              <w:t>Applicants and Students who book accommodation with BU</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8E3759">
            <w:pPr>
              <w:pStyle w:val="ListParagraph"/>
              <w:numPr>
                <w:ilvl w:val="0"/>
                <w:numId w:val="1"/>
              </w:numPr>
              <w:spacing w:after="0" w:line="240" w:lineRule="auto"/>
              <w:rPr>
                <w:rFonts w:ascii="PT Sans" w:hAnsi="PT Sans"/>
              </w:rPr>
            </w:pPr>
            <w:r>
              <w:rPr>
                <w:rFonts w:ascii="PT Sans" w:hAnsi="PT Sans"/>
              </w:rPr>
              <w:t>Who led the analysis?</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3E6EE3" w:rsidP="00D96780">
            <w:pPr>
              <w:spacing w:after="0" w:line="240" w:lineRule="auto"/>
              <w:rPr>
                <w:rFonts w:ascii="PT Sans" w:hAnsi="PT Sans"/>
              </w:rPr>
            </w:pPr>
            <w:r>
              <w:rPr>
                <w:rFonts w:ascii="PT Sans" w:hAnsi="PT Sans"/>
              </w:rPr>
              <w:t>Robin Walsh</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8E3759">
            <w:pPr>
              <w:pStyle w:val="ListParagraph"/>
              <w:numPr>
                <w:ilvl w:val="0"/>
                <w:numId w:val="1"/>
              </w:numPr>
              <w:spacing w:after="0" w:line="240" w:lineRule="auto"/>
              <w:rPr>
                <w:rFonts w:ascii="PT Sans" w:hAnsi="PT Sans"/>
              </w:rPr>
            </w:pPr>
            <w:r>
              <w:rPr>
                <w:rFonts w:ascii="PT Sans" w:hAnsi="PT Sans"/>
              </w:rPr>
              <w:t>Who contributed to the analysis?</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3E6EE3" w:rsidP="00D96780">
            <w:pPr>
              <w:spacing w:after="0" w:line="240" w:lineRule="auto"/>
              <w:rPr>
                <w:rFonts w:ascii="PT Sans" w:hAnsi="PT Sans"/>
              </w:rPr>
            </w:pPr>
            <w:r>
              <w:rPr>
                <w:rFonts w:ascii="PT Sans" w:hAnsi="PT Sans"/>
              </w:rPr>
              <w:t>Glenda Brown and Accommodation Strategy Group</w:t>
            </w:r>
            <w:r w:rsidR="00D8672D">
              <w:rPr>
                <w:rFonts w:ascii="PT Sans" w:hAnsi="PT Sans"/>
              </w:rPr>
              <w:t xml:space="preserve"> (ASG)</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8E3759">
            <w:pPr>
              <w:pStyle w:val="ListParagraph"/>
              <w:numPr>
                <w:ilvl w:val="0"/>
                <w:numId w:val="1"/>
              </w:numPr>
              <w:spacing w:after="0" w:line="240" w:lineRule="auto"/>
            </w:pPr>
            <w:r>
              <w:rPr>
                <w:rFonts w:ascii="PT Sans" w:hAnsi="PT Sans" w:cs="Arial"/>
              </w:rPr>
              <w:t>What information has been used to inform the analysis?</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3E6EE3" w:rsidP="00D96780">
            <w:pPr>
              <w:spacing w:after="0" w:line="240" w:lineRule="auto"/>
              <w:rPr>
                <w:rFonts w:ascii="PT Sans" w:hAnsi="PT Sans"/>
              </w:rPr>
            </w:pPr>
            <w:r>
              <w:rPr>
                <w:rFonts w:ascii="PT Sans" w:hAnsi="PT Sans"/>
              </w:rPr>
              <w:t>The current</w:t>
            </w:r>
            <w:r w:rsidRPr="0054333B">
              <w:rPr>
                <w:rFonts w:ascii="PT Sans" w:hAnsi="PT Sans"/>
                <w:i/>
              </w:rPr>
              <w:t xml:space="preserve"> Accommodation</w:t>
            </w:r>
            <w:r w:rsidR="00C14E9D" w:rsidRPr="0054333B">
              <w:rPr>
                <w:rFonts w:ascii="PT Sans" w:hAnsi="PT Sans"/>
                <w:i/>
              </w:rPr>
              <w:t xml:space="preserve"> Bookings Policy and Procedures </w:t>
            </w:r>
            <w:r w:rsidR="0054333B">
              <w:rPr>
                <w:rFonts w:ascii="PT Sans" w:hAnsi="PT Sans"/>
                <w:i/>
              </w:rPr>
              <w:t xml:space="preserve">document </w:t>
            </w:r>
            <w:r w:rsidR="00C14E9D">
              <w:rPr>
                <w:rFonts w:ascii="PT Sans" w:hAnsi="PT Sans"/>
              </w:rPr>
              <w:t>from 2017/18 and key learnings</w:t>
            </w:r>
            <w:r w:rsidR="0054333B">
              <w:rPr>
                <w:rFonts w:ascii="PT Sans" w:hAnsi="PT Sans"/>
              </w:rPr>
              <w:t xml:space="preserve"> from the experience of implementing and using this policy to process bookings for the 2017/18 new student intake.</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rsidR="008E3759" w:rsidRDefault="008E3759" w:rsidP="00D96780">
            <w:pPr>
              <w:pStyle w:val="ListParagraph"/>
              <w:spacing w:after="0" w:line="240" w:lineRule="auto"/>
              <w:ind w:left="360"/>
              <w:jc w:val="center"/>
              <w:rPr>
                <w:rFonts w:ascii="PT Sans" w:hAnsi="PT Sans" w:cs="Arial"/>
                <w:b/>
                <w:color w:val="FFFFFF"/>
              </w:rPr>
            </w:pPr>
            <w:r>
              <w:rPr>
                <w:rFonts w:ascii="PT Sans" w:hAnsi="PT Sans" w:cs="Arial"/>
                <w:b/>
                <w:color w:val="FFFFFF"/>
              </w:rPr>
              <w:t>Analysis</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tcPr>
          <w:p w:rsidR="008E3759" w:rsidRPr="00145DA7" w:rsidRDefault="008E3759" w:rsidP="00D96780">
            <w:pPr>
              <w:spacing w:after="0" w:line="240" w:lineRule="auto"/>
              <w:jc w:val="center"/>
              <w:rPr>
                <w:rFonts w:ascii="PT Sans" w:hAnsi="PT Sans"/>
              </w:rPr>
            </w:pPr>
            <w:r w:rsidRPr="00145DA7">
              <w:rPr>
                <w:rFonts w:ascii="PT Sans" w:hAnsi="PT Sans"/>
                <w:b/>
                <w:color w:val="FFFFFF"/>
              </w:rPr>
              <w:t>Please provide explanatory comments</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8E3759">
            <w:pPr>
              <w:pStyle w:val="ListParagraph"/>
              <w:numPr>
                <w:ilvl w:val="0"/>
                <w:numId w:val="1"/>
              </w:numPr>
              <w:spacing w:after="0" w:line="240" w:lineRule="auto"/>
              <w:rPr>
                <w:rFonts w:ascii="PT Sans" w:hAnsi="PT Sans" w:cs="Arial"/>
                <w:b/>
              </w:rPr>
            </w:pPr>
            <w:r>
              <w:rPr>
                <w:rFonts w:ascii="PT Sans" w:hAnsi="PT Sans" w:cs="Arial"/>
                <w:b/>
              </w:rPr>
              <w:t xml:space="preserve">How does the activity promote good relations/equality/inclusion in relation to: </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D96780">
            <w:pPr>
              <w:spacing w:after="0" w:line="240" w:lineRule="auto"/>
              <w:rPr>
                <w:rFonts w:ascii="PT Sans" w:hAnsi="PT Sans"/>
                <w:b/>
              </w:rPr>
            </w:pP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6.1 Age</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3E6EE3" w:rsidP="00D96780">
            <w:pPr>
              <w:spacing w:after="0" w:line="240" w:lineRule="auto"/>
              <w:rPr>
                <w:rFonts w:ascii="PT Sans" w:hAnsi="PT Sans"/>
              </w:rPr>
            </w:pPr>
            <w:r>
              <w:rPr>
                <w:rFonts w:ascii="PT Sans" w:hAnsi="PT Sans"/>
              </w:rPr>
              <w:t>BU does not discriminate based on age</w:t>
            </w:r>
            <w:r w:rsidR="00C14E9D">
              <w:rPr>
                <w:rFonts w:ascii="PT Sans" w:hAnsi="PT Sans"/>
              </w:rPr>
              <w:t xml:space="preserve">. </w:t>
            </w:r>
            <w:r w:rsidR="0054333B">
              <w:rPr>
                <w:rFonts w:ascii="PT Sans" w:hAnsi="PT Sans"/>
              </w:rPr>
              <w:t xml:space="preserve">Eligible applicants or students of any age can book accommodation. </w:t>
            </w:r>
            <w:r w:rsidR="00C14E9D">
              <w:rPr>
                <w:rFonts w:ascii="PT Sans" w:hAnsi="PT Sans"/>
              </w:rPr>
              <w:t>However, a key lea</w:t>
            </w:r>
            <w:r w:rsidR="0054333B">
              <w:rPr>
                <w:rFonts w:ascii="PT Sans" w:hAnsi="PT Sans"/>
              </w:rPr>
              <w:t>rning from 2017/18 has been that we needed to clarify that eligible applicants and students under the age of 18 years of age are fully covered by the BU guarantee of accommodation. A clause has now been inserted into the policy document to clarify this.</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6.2 Disability</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54333B" w:rsidP="0054333B">
            <w:pPr>
              <w:spacing w:after="0" w:line="240" w:lineRule="auto"/>
              <w:rPr>
                <w:rFonts w:ascii="PT Sans" w:hAnsi="PT Sans"/>
              </w:rPr>
            </w:pPr>
            <w:r>
              <w:rPr>
                <w:rFonts w:ascii="PT Sans" w:hAnsi="PT Sans"/>
              </w:rPr>
              <w:t>Due to a limited stock of accommodation that are defined as ‘accessible’ BU is unable to offer a guarantee that it can accommodate all students with specific needs. The policy document is clear about this in order to manage expectations of students who might fall into this category.</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6.3 Gender Reassignment</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54333B" w:rsidP="00D95373">
            <w:pPr>
              <w:spacing w:after="0" w:line="240" w:lineRule="auto"/>
              <w:rPr>
                <w:rFonts w:ascii="PT Sans" w:hAnsi="PT Sans"/>
              </w:rPr>
            </w:pPr>
            <w:r>
              <w:rPr>
                <w:rFonts w:ascii="PT Sans" w:hAnsi="PT Sans"/>
              </w:rPr>
              <w:t xml:space="preserve">BU does not discriminate based on gender. Eligible applicants or students of any gender can book accommodation. </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pPr>
            <w:r>
              <w:rPr>
                <w:rFonts w:ascii="PT Sans" w:hAnsi="PT Sans" w:cs="Arial"/>
              </w:rPr>
              <w:t>6.4 Marriage and civil partnership</w:t>
            </w:r>
            <w:r>
              <w:rPr>
                <w:rStyle w:val="FootnoteReference"/>
                <w:rFonts w:ascii="PT Sans" w:hAnsi="PT Sans" w:cs="Arial"/>
              </w:rPr>
              <w:footnoteReference w:id="1"/>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54333B" w:rsidP="00D95373">
            <w:pPr>
              <w:spacing w:after="0" w:line="240" w:lineRule="auto"/>
              <w:rPr>
                <w:rFonts w:ascii="PT Sans" w:hAnsi="PT Sans"/>
              </w:rPr>
            </w:pPr>
            <w:r w:rsidRPr="0054333B">
              <w:rPr>
                <w:rFonts w:ascii="PT Sans" w:hAnsi="PT Sans"/>
              </w:rPr>
              <w:t xml:space="preserve">Due to a limited stock of accommodation that </w:t>
            </w:r>
            <w:r>
              <w:rPr>
                <w:rFonts w:ascii="PT Sans" w:hAnsi="PT Sans"/>
              </w:rPr>
              <w:t>is</w:t>
            </w:r>
            <w:r w:rsidRPr="0054333B">
              <w:rPr>
                <w:rFonts w:ascii="PT Sans" w:hAnsi="PT Sans"/>
              </w:rPr>
              <w:t xml:space="preserve"> </w:t>
            </w:r>
            <w:r>
              <w:rPr>
                <w:rFonts w:ascii="PT Sans" w:hAnsi="PT Sans"/>
              </w:rPr>
              <w:t>suitable for students with families</w:t>
            </w:r>
            <w:r w:rsidR="00D95373">
              <w:rPr>
                <w:rFonts w:ascii="PT Sans" w:hAnsi="PT Sans"/>
              </w:rPr>
              <w:t xml:space="preserve"> or </w:t>
            </w:r>
            <w:r>
              <w:rPr>
                <w:rFonts w:ascii="PT Sans" w:hAnsi="PT Sans"/>
              </w:rPr>
              <w:t xml:space="preserve">partners </w:t>
            </w:r>
            <w:r w:rsidR="00D95373">
              <w:rPr>
                <w:rFonts w:ascii="PT Sans" w:hAnsi="PT Sans"/>
              </w:rPr>
              <w:t>BU is unable to offer a guarantee of accommodation that extends beyond the eligible student</w:t>
            </w:r>
            <w:r w:rsidRPr="0054333B">
              <w:rPr>
                <w:rFonts w:ascii="PT Sans" w:hAnsi="PT Sans"/>
              </w:rPr>
              <w:t>. The policy document is clear about this in order to manage expectations of students who might fall into this category.</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6.5 Pregnancy and maternity (including paternity)</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D95373" w:rsidP="00D96780">
            <w:pPr>
              <w:spacing w:after="0" w:line="240" w:lineRule="auto"/>
              <w:rPr>
                <w:rFonts w:ascii="PT Sans" w:hAnsi="PT Sans"/>
              </w:rPr>
            </w:pPr>
            <w:r w:rsidRPr="0054333B">
              <w:rPr>
                <w:rFonts w:ascii="PT Sans" w:hAnsi="PT Sans"/>
              </w:rPr>
              <w:t xml:space="preserve">Due to a limited stock of accommodation that </w:t>
            </w:r>
            <w:r>
              <w:rPr>
                <w:rFonts w:ascii="PT Sans" w:hAnsi="PT Sans"/>
              </w:rPr>
              <w:t>is</w:t>
            </w:r>
            <w:r w:rsidRPr="0054333B">
              <w:rPr>
                <w:rFonts w:ascii="PT Sans" w:hAnsi="PT Sans"/>
              </w:rPr>
              <w:t xml:space="preserve"> </w:t>
            </w:r>
            <w:r>
              <w:rPr>
                <w:rFonts w:ascii="PT Sans" w:hAnsi="PT Sans"/>
              </w:rPr>
              <w:t xml:space="preserve">suitable for students with dependents BU is unable to offer a guarantee of accommodation </w:t>
            </w:r>
            <w:r>
              <w:rPr>
                <w:rFonts w:ascii="PT Sans" w:hAnsi="PT Sans"/>
              </w:rPr>
              <w:lastRenderedPageBreak/>
              <w:t>that extends beyond the eligible student</w:t>
            </w:r>
            <w:r w:rsidRPr="0054333B">
              <w:rPr>
                <w:rFonts w:ascii="PT Sans" w:hAnsi="PT Sans"/>
              </w:rPr>
              <w:t>. The policy document is clear about this in order to manage expectations of students who might fall into this category.</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lastRenderedPageBreak/>
              <w:t>6.6 Race (colour, ethnic or national background)</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D95373" w:rsidP="00D95373">
            <w:pPr>
              <w:spacing w:after="0" w:line="240" w:lineRule="auto"/>
              <w:rPr>
                <w:rFonts w:ascii="PT Sans" w:hAnsi="PT Sans"/>
              </w:rPr>
            </w:pPr>
            <w:r>
              <w:rPr>
                <w:rFonts w:ascii="PT Sans" w:hAnsi="PT Sans"/>
              </w:rPr>
              <w:t>BU does not discriminate based on Race. Eligible applicants or students of any Race can book accommodation.</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6.7 Religion or belief (including non-belief)</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D95373" w:rsidP="00D95373">
            <w:pPr>
              <w:spacing w:after="0" w:line="240" w:lineRule="auto"/>
              <w:rPr>
                <w:rFonts w:ascii="PT Sans" w:hAnsi="PT Sans"/>
              </w:rPr>
            </w:pPr>
            <w:r>
              <w:rPr>
                <w:rFonts w:ascii="PT Sans" w:hAnsi="PT Sans"/>
              </w:rPr>
              <w:t>BU does not discriminate based on Religion. Eligible applicants or students of any Religion can book accommodation.</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6.8 Sex (Female/Male)</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D95373" w:rsidP="00D95373">
            <w:pPr>
              <w:spacing w:after="0" w:line="240" w:lineRule="auto"/>
              <w:rPr>
                <w:rFonts w:ascii="PT Sans" w:hAnsi="PT Sans"/>
              </w:rPr>
            </w:pPr>
            <w:r w:rsidRPr="00D95373">
              <w:rPr>
                <w:rFonts w:ascii="PT Sans" w:hAnsi="PT Sans"/>
              </w:rPr>
              <w:t xml:space="preserve">BU does not discriminate based on </w:t>
            </w:r>
            <w:r>
              <w:rPr>
                <w:rFonts w:ascii="PT Sans" w:hAnsi="PT Sans"/>
              </w:rPr>
              <w:t>Sex</w:t>
            </w:r>
            <w:r w:rsidRPr="00D95373">
              <w:rPr>
                <w:rFonts w:ascii="PT Sans" w:hAnsi="PT Sans"/>
              </w:rPr>
              <w:t>. Eligibl</w:t>
            </w:r>
            <w:r>
              <w:rPr>
                <w:rFonts w:ascii="PT Sans" w:hAnsi="PT Sans"/>
              </w:rPr>
              <w:t xml:space="preserve">e applicants or students of either sex </w:t>
            </w:r>
            <w:r w:rsidRPr="00D95373">
              <w:rPr>
                <w:rFonts w:ascii="PT Sans" w:hAnsi="PT Sans"/>
              </w:rPr>
              <w:t>can book accommodation.</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6.9 Sexual orientation</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D95373" w:rsidP="00D95373">
            <w:pPr>
              <w:spacing w:after="0" w:line="240" w:lineRule="auto"/>
              <w:rPr>
                <w:rFonts w:ascii="PT Sans" w:hAnsi="PT Sans"/>
              </w:rPr>
            </w:pPr>
            <w:r w:rsidRPr="00D95373">
              <w:rPr>
                <w:rFonts w:ascii="PT Sans" w:hAnsi="PT Sans"/>
              </w:rPr>
              <w:t>BU does not discriminate based on Sex</w:t>
            </w:r>
            <w:r>
              <w:rPr>
                <w:rFonts w:ascii="PT Sans" w:hAnsi="PT Sans"/>
              </w:rPr>
              <w:t>ual orientation</w:t>
            </w:r>
            <w:r w:rsidRPr="00D95373">
              <w:rPr>
                <w:rFonts w:ascii="PT Sans" w:hAnsi="PT Sans"/>
              </w:rPr>
              <w:t xml:space="preserve">. Eligible applicants or students of </w:t>
            </w:r>
            <w:r>
              <w:rPr>
                <w:rFonts w:ascii="PT Sans" w:hAnsi="PT Sans"/>
              </w:rPr>
              <w:t>any sexual orientation</w:t>
            </w:r>
            <w:r w:rsidRPr="00D95373">
              <w:rPr>
                <w:rFonts w:ascii="PT Sans" w:hAnsi="PT Sans"/>
              </w:rPr>
              <w:t xml:space="preserve"> can book accommodation.</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8E3759">
            <w:pPr>
              <w:pStyle w:val="ListParagraph"/>
              <w:numPr>
                <w:ilvl w:val="0"/>
                <w:numId w:val="1"/>
              </w:numPr>
              <w:spacing w:after="0" w:line="240" w:lineRule="auto"/>
              <w:rPr>
                <w:rFonts w:ascii="PT Sans" w:hAnsi="PT Sans" w:cs="Arial"/>
                <w:b/>
              </w:rPr>
            </w:pPr>
            <w:r>
              <w:rPr>
                <w:rFonts w:ascii="PT Sans" w:hAnsi="PT Sans" w:cs="Arial"/>
                <w:b/>
              </w:rPr>
              <w:t xml:space="preserve">Does the activity have an actual or potential adverse impact in relation to? </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D96780">
            <w:pPr>
              <w:spacing w:after="0" w:line="240" w:lineRule="auto"/>
              <w:rPr>
                <w:rFonts w:ascii="PT Sans" w:hAnsi="PT Sans"/>
                <w:b/>
              </w:rPr>
            </w:pP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7.1 Age</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1E0B1B" w:rsidP="001E0B1B">
            <w:pPr>
              <w:spacing w:after="0" w:line="240" w:lineRule="auto"/>
              <w:rPr>
                <w:rFonts w:ascii="PT Sans" w:hAnsi="PT Sans"/>
              </w:rPr>
            </w:pPr>
            <w:r>
              <w:rPr>
                <w:rFonts w:ascii="PT Sans" w:hAnsi="PT Sans"/>
              </w:rPr>
              <w:t xml:space="preserve">Students who under the age of 18 during their accommodation contract are required to abide by the BU Under 18 Accommodation policy detailed at: </w:t>
            </w:r>
            <w:hyperlink r:id="rId8" w:history="1">
              <w:r w:rsidRPr="00683CFD">
                <w:rPr>
                  <w:rStyle w:val="Hyperlink"/>
                  <w:rFonts w:ascii="PT Sans" w:hAnsi="PT Sans"/>
                </w:rPr>
                <w:t>https://www1.bournemouth.ac.uk/why-bu/accommodation/accommodation-specific-needs/accommodation-students-under-18-years-age</w:t>
              </w:r>
            </w:hyperlink>
            <w:r>
              <w:rPr>
                <w:rFonts w:ascii="PT Sans" w:hAnsi="PT Sans"/>
              </w:rPr>
              <w:t xml:space="preserve"> </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7.2 Disability</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D95373" w:rsidP="00D95373">
            <w:pPr>
              <w:spacing w:after="0" w:line="240" w:lineRule="auto"/>
              <w:rPr>
                <w:rFonts w:ascii="PT Sans" w:hAnsi="PT Sans"/>
              </w:rPr>
            </w:pPr>
            <w:r>
              <w:rPr>
                <w:rFonts w:ascii="PT Sans" w:hAnsi="PT Sans"/>
              </w:rPr>
              <w:t>Disabled students are not covered by the accommodation guarantee so could find themselves having to source private accommodation that is suitable for their specific need.</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7.3 Gender Reassignment</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D95373" w:rsidP="00D96780">
            <w:pPr>
              <w:spacing w:after="0" w:line="240" w:lineRule="auto"/>
              <w:rPr>
                <w:rFonts w:ascii="PT Sans" w:hAnsi="PT Sans"/>
              </w:rPr>
            </w:pPr>
            <w:r>
              <w:rPr>
                <w:rFonts w:ascii="PT Sans" w:hAnsi="PT Sans"/>
              </w:rPr>
              <w:t>None</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pPr>
            <w:r>
              <w:rPr>
                <w:rFonts w:ascii="PT Sans" w:hAnsi="PT Sans" w:cs="Arial"/>
              </w:rPr>
              <w:t>7.4 Marriage and civil partnership</w:t>
            </w:r>
            <w:r>
              <w:rPr>
                <w:rStyle w:val="FootnoteReference"/>
                <w:rFonts w:ascii="PT Sans" w:hAnsi="PT Sans" w:cs="Arial"/>
              </w:rPr>
              <w:footnoteReference w:id="2"/>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D95373" w:rsidP="00D95373">
            <w:pPr>
              <w:spacing w:after="0" w:line="240" w:lineRule="auto"/>
              <w:rPr>
                <w:rFonts w:ascii="PT Sans" w:hAnsi="PT Sans"/>
              </w:rPr>
            </w:pPr>
            <w:r>
              <w:rPr>
                <w:rFonts w:ascii="PT Sans" w:hAnsi="PT Sans"/>
              </w:rPr>
              <w:t>A s</w:t>
            </w:r>
            <w:r w:rsidRPr="00D95373">
              <w:rPr>
                <w:rFonts w:ascii="PT Sans" w:hAnsi="PT Sans"/>
              </w:rPr>
              <w:t>tudent</w:t>
            </w:r>
            <w:r>
              <w:rPr>
                <w:rFonts w:ascii="PT Sans" w:hAnsi="PT Sans"/>
              </w:rPr>
              <w:t>’</w:t>
            </w:r>
            <w:r w:rsidRPr="00D95373">
              <w:rPr>
                <w:rFonts w:ascii="PT Sans" w:hAnsi="PT Sans"/>
              </w:rPr>
              <w:t xml:space="preserve">s </w:t>
            </w:r>
            <w:r>
              <w:rPr>
                <w:rFonts w:ascii="PT Sans" w:hAnsi="PT Sans"/>
              </w:rPr>
              <w:t xml:space="preserve">family or partner </w:t>
            </w:r>
            <w:r w:rsidRPr="00D95373">
              <w:rPr>
                <w:rFonts w:ascii="PT Sans" w:hAnsi="PT Sans"/>
              </w:rPr>
              <w:t xml:space="preserve">are not covered by the accommodation guarantee so </w:t>
            </w:r>
            <w:r>
              <w:rPr>
                <w:rFonts w:ascii="PT Sans" w:hAnsi="PT Sans"/>
              </w:rPr>
              <w:t>if they need to live together they would then need to</w:t>
            </w:r>
            <w:r w:rsidRPr="00D95373">
              <w:rPr>
                <w:rFonts w:ascii="PT Sans" w:hAnsi="PT Sans"/>
              </w:rPr>
              <w:t xml:space="preserve"> source </w:t>
            </w:r>
            <w:r>
              <w:rPr>
                <w:rFonts w:ascii="PT Sans" w:hAnsi="PT Sans"/>
              </w:rPr>
              <w:t xml:space="preserve">private </w:t>
            </w:r>
            <w:r w:rsidRPr="00D95373">
              <w:rPr>
                <w:rFonts w:ascii="PT Sans" w:hAnsi="PT Sans"/>
              </w:rPr>
              <w:t xml:space="preserve">accommodation that is suitable for </w:t>
            </w:r>
            <w:r>
              <w:rPr>
                <w:rFonts w:ascii="PT Sans" w:hAnsi="PT Sans"/>
              </w:rPr>
              <w:t>them.</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7.5 Pregnancy and maternity (including paternity)</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D95373" w:rsidP="00D95373">
            <w:pPr>
              <w:spacing w:after="0" w:line="240" w:lineRule="auto"/>
              <w:rPr>
                <w:rFonts w:ascii="PT Sans" w:hAnsi="PT Sans"/>
              </w:rPr>
            </w:pPr>
            <w:r>
              <w:rPr>
                <w:rFonts w:ascii="PT Sans" w:hAnsi="PT Sans"/>
              </w:rPr>
              <w:t>A s</w:t>
            </w:r>
            <w:r w:rsidRPr="00D95373">
              <w:rPr>
                <w:rFonts w:ascii="PT Sans" w:hAnsi="PT Sans"/>
              </w:rPr>
              <w:t xml:space="preserve">tudent’s </w:t>
            </w:r>
            <w:r>
              <w:rPr>
                <w:rFonts w:ascii="PT Sans" w:hAnsi="PT Sans"/>
              </w:rPr>
              <w:t>dependent(s)</w:t>
            </w:r>
            <w:r w:rsidRPr="00D95373">
              <w:rPr>
                <w:rFonts w:ascii="PT Sans" w:hAnsi="PT Sans"/>
              </w:rPr>
              <w:t xml:space="preserve"> are not covered by the accommodation guarantee so if they need to live together they would then need to source private accommodation that is suitable for them.</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7.6 Race (colour, ethnic or national background)</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E250F7" w:rsidP="00D96780">
            <w:pPr>
              <w:spacing w:after="0" w:line="240" w:lineRule="auto"/>
              <w:rPr>
                <w:rFonts w:ascii="PT Sans" w:hAnsi="PT Sans"/>
              </w:rPr>
            </w:pPr>
            <w:r>
              <w:rPr>
                <w:rFonts w:ascii="PT Sans" w:hAnsi="PT Sans"/>
              </w:rPr>
              <w:t>None</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7.7 Religion or belief (including non-belief)</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E250F7" w:rsidP="00D96780">
            <w:pPr>
              <w:spacing w:after="0" w:line="240" w:lineRule="auto"/>
              <w:rPr>
                <w:rFonts w:ascii="PT Sans" w:hAnsi="PT Sans"/>
              </w:rPr>
            </w:pPr>
            <w:r>
              <w:rPr>
                <w:rFonts w:ascii="PT Sans" w:hAnsi="PT Sans"/>
              </w:rPr>
              <w:t>None</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 xml:space="preserve">7.8 Sex (Female/Male) </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E250F7" w:rsidP="00D96780">
            <w:pPr>
              <w:spacing w:after="0" w:line="240" w:lineRule="auto"/>
              <w:rPr>
                <w:rFonts w:ascii="PT Sans" w:hAnsi="PT Sans"/>
              </w:rPr>
            </w:pPr>
            <w:r>
              <w:rPr>
                <w:rFonts w:ascii="PT Sans" w:hAnsi="PT Sans"/>
              </w:rPr>
              <w:t>None</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8E3759" w:rsidP="00D96780">
            <w:pPr>
              <w:spacing w:after="0" w:line="240" w:lineRule="auto"/>
              <w:rPr>
                <w:rFonts w:ascii="PT Sans" w:hAnsi="PT Sans" w:cs="Arial"/>
              </w:rPr>
            </w:pPr>
            <w:r>
              <w:rPr>
                <w:rFonts w:ascii="PT Sans" w:hAnsi="PT Sans" w:cs="Arial"/>
              </w:rPr>
              <w:t xml:space="preserve">7.9 Sexual orientation </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E250F7" w:rsidP="00D96780">
            <w:pPr>
              <w:spacing w:after="0" w:line="240" w:lineRule="auto"/>
              <w:rPr>
                <w:rFonts w:ascii="PT Sans" w:hAnsi="PT Sans"/>
              </w:rPr>
            </w:pPr>
            <w:r>
              <w:rPr>
                <w:rFonts w:ascii="PT Sans" w:hAnsi="PT Sans"/>
              </w:rPr>
              <w:t>None</w:t>
            </w:r>
          </w:p>
        </w:tc>
      </w:tr>
      <w:tr w:rsidR="008E3759" w:rsidTr="008E3759">
        <w:tc>
          <w:tcPr>
            <w:tcW w:w="1006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8E3759">
            <w:pPr>
              <w:pStyle w:val="ListParagraph"/>
              <w:numPr>
                <w:ilvl w:val="0"/>
                <w:numId w:val="1"/>
              </w:numPr>
              <w:spacing w:after="0" w:line="240" w:lineRule="auto"/>
            </w:pPr>
            <w:r>
              <w:rPr>
                <w:rFonts w:ascii="PT Sans" w:hAnsi="PT Sans" w:cs="Arial"/>
                <w:b/>
              </w:rPr>
              <w:t xml:space="preserve">Comment on the good practice identified </w:t>
            </w:r>
          </w:p>
        </w:tc>
      </w:tr>
      <w:tr w:rsidR="008E3759" w:rsidTr="008E3759">
        <w:tc>
          <w:tcPr>
            <w:tcW w:w="100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672D" w:rsidRDefault="00D8672D" w:rsidP="00D96780">
            <w:pPr>
              <w:spacing w:after="0" w:line="240" w:lineRule="auto"/>
              <w:rPr>
                <w:rFonts w:ascii="PT Sans" w:hAnsi="PT Sans" w:cs="Arial"/>
              </w:rPr>
            </w:pPr>
            <w:r>
              <w:rPr>
                <w:rFonts w:ascii="PT Sans" w:hAnsi="PT Sans" w:cs="Arial"/>
              </w:rPr>
              <w:t>BU operate a ‘self-selection’ booking process where eligible applicants or students choose and book their own accommodation from what is available at the time they login in to the online booking portal.</w:t>
            </w:r>
          </w:p>
          <w:p w:rsidR="008E3759" w:rsidRDefault="00E250F7" w:rsidP="00D96780">
            <w:pPr>
              <w:spacing w:after="0" w:line="240" w:lineRule="auto"/>
              <w:rPr>
                <w:rFonts w:ascii="PT Sans" w:hAnsi="PT Sans" w:cs="Arial"/>
              </w:rPr>
            </w:pPr>
            <w:r>
              <w:rPr>
                <w:rFonts w:ascii="PT Sans" w:hAnsi="PT Sans" w:cs="Arial"/>
              </w:rPr>
              <w:lastRenderedPageBreak/>
              <w:t>Students who are Care Leavers or Estranged are automatically guaranteed BU accommodation.</w:t>
            </w:r>
          </w:p>
          <w:p w:rsidR="00E250F7" w:rsidRDefault="00E250F7" w:rsidP="00D96780">
            <w:pPr>
              <w:spacing w:after="0" w:line="240" w:lineRule="auto"/>
              <w:rPr>
                <w:rFonts w:ascii="PT Sans" w:hAnsi="PT Sans" w:cs="Arial"/>
              </w:rPr>
            </w:pPr>
            <w:r>
              <w:rPr>
                <w:rFonts w:ascii="PT Sans" w:hAnsi="PT Sans" w:cs="Arial"/>
              </w:rPr>
              <w:t>Students with a criminal conviction are risk assessed prior to being allowed to book BU accommodation.</w:t>
            </w:r>
          </w:p>
        </w:tc>
      </w:tr>
      <w:tr w:rsidR="008E3759" w:rsidTr="008E3759">
        <w:tc>
          <w:tcPr>
            <w:tcW w:w="1006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8E3759">
            <w:pPr>
              <w:pStyle w:val="ListParagraph"/>
              <w:numPr>
                <w:ilvl w:val="0"/>
                <w:numId w:val="1"/>
              </w:numPr>
              <w:spacing w:after="0" w:line="240" w:lineRule="auto"/>
              <w:rPr>
                <w:rFonts w:ascii="PT Sans" w:hAnsi="PT Sans" w:cs="Arial"/>
                <w:b/>
              </w:rPr>
            </w:pPr>
            <w:r>
              <w:rPr>
                <w:rFonts w:ascii="PT Sans" w:hAnsi="PT Sans" w:cs="Arial"/>
                <w:b/>
              </w:rPr>
              <w:lastRenderedPageBreak/>
              <w:t>Comment on the actions to mitigate actual or potential adverse impact</w:t>
            </w:r>
          </w:p>
        </w:tc>
      </w:tr>
      <w:tr w:rsidR="008E3759" w:rsidTr="008E3759">
        <w:tc>
          <w:tcPr>
            <w:tcW w:w="10060" w:type="dxa"/>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3759" w:rsidRDefault="00E250F7" w:rsidP="00D96780">
            <w:pPr>
              <w:spacing w:after="0" w:line="240" w:lineRule="auto"/>
              <w:rPr>
                <w:rFonts w:ascii="PT Sans" w:hAnsi="PT Sans" w:cs="Arial"/>
              </w:rPr>
            </w:pPr>
            <w:r>
              <w:rPr>
                <w:rFonts w:ascii="PT Sans" w:hAnsi="PT Sans" w:cs="Arial"/>
              </w:rPr>
              <w:t>7.2 Disability – BU provides</w:t>
            </w:r>
            <w:r w:rsidR="001E0B1B">
              <w:rPr>
                <w:rFonts w:ascii="PT Sans" w:hAnsi="PT Sans" w:cs="Arial"/>
              </w:rPr>
              <w:t xml:space="preserve"> a specific web page with relevant accommodation related information for students with disabilities (</w:t>
            </w:r>
            <w:hyperlink r:id="rId9" w:history="1">
              <w:r w:rsidR="001E0B1B" w:rsidRPr="00683CFD">
                <w:rPr>
                  <w:rStyle w:val="Hyperlink"/>
                  <w:rFonts w:ascii="PT Sans" w:hAnsi="PT Sans" w:cs="Arial"/>
                </w:rPr>
                <w:t>https://www1.bournemouth.ac.uk/why-bu/accommodation/accommodation-specific-needs/accessible-accommodation</w:t>
              </w:r>
            </w:hyperlink>
            <w:r w:rsidR="001E0B1B">
              <w:rPr>
                <w:rFonts w:ascii="PT Sans" w:hAnsi="PT Sans" w:cs="Arial"/>
              </w:rPr>
              <w:t xml:space="preserve"> ). BU </w:t>
            </w:r>
            <w:r>
              <w:rPr>
                <w:rFonts w:ascii="PT Sans" w:hAnsi="PT Sans" w:cs="Arial"/>
              </w:rPr>
              <w:t xml:space="preserve">prioritises the limited stock of accessible rooms for students with a proven disability over those without. Residential Services works closely with Assisted Learning Services to gather supporting evidence from applicants and students with a disability who disclose a need for specific accommodation to ensure the most suitable </w:t>
            </w:r>
            <w:r w:rsidR="001E0B1B">
              <w:rPr>
                <w:rFonts w:ascii="PT Sans" w:hAnsi="PT Sans" w:cs="Arial"/>
              </w:rPr>
              <w:t xml:space="preserve">available </w:t>
            </w:r>
            <w:r>
              <w:rPr>
                <w:rFonts w:ascii="PT Sans" w:hAnsi="PT Sans" w:cs="Arial"/>
              </w:rPr>
              <w:t xml:space="preserve">accommodation is allocated to them. BU will make reasonable adjustments to accommodation to meet specific needs. BU will work with its accommodation partners to support them to make reasonable adjustments to meet specific needs. In the eventuality where an applicants’ or student’s needs could not be met </w:t>
            </w:r>
            <w:r w:rsidRPr="00E250F7">
              <w:rPr>
                <w:rFonts w:ascii="PT Sans" w:hAnsi="PT Sans" w:cs="Arial"/>
              </w:rPr>
              <w:t xml:space="preserve">BU will make reasonable endeavours to assist the </w:t>
            </w:r>
            <w:r>
              <w:rPr>
                <w:rFonts w:ascii="PT Sans" w:hAnsi="PT Sans" w:cs="Arial"/>
              </w:rPr>
              <w:t xml:space="preserve">applicant or </w:t>
            </w:r>
            <w:r w:rsidRPr="00E250F7">
              <w:rPr>
                <w:rFonts w:ascii="PT Sans" w:hAnsi="PT Sans" w:cs="Arial"/>
              </w:rPr>
              <w:t>student to secure suitable accommodation in the private sector.</w:t>
            </w:r>
          </w:p>
          <w:p w:rsidR="00E250F7" w:rsidRDefault="00E250F7" w:rsidP="001E0B1B">
            <w:pPr>
              <w:spacing w:after="0" w:line="240" w:lineRule="auto"/>
              <w:rPr>
                <w:rFonts w:ascii="PT Sans" w:hAnsi="PT Sans" w:cs="Arial"/>
              </w:rPr>
            </w:pPr>
            <w:r>
              <w:rPr>
                <w:rFonts w:ascii="PT Sans" w:hAnsi="PT Sans" w:cs="Arial"/>
              </w:rPr>
              <w:t>7.4</w:t>
            </w:r>
            <w:r w:rsidR="001E0B1B">
              <w:rPr>
                <w:rFonts w:ascii="PT Sans" w:hAnsi="PT Sans" w:cs="Arial"/>
              </w:rPr>
              <w:t xml:space="preserve"> Marriage and civil partnership - BU </w:t>
            </w:r>
            <w:r w:rsidR="00D8672D">
              <w:rPr>
                <w:rFonts w:ascii="PT Sans" w:hAnsi="PT Sans" w:cs="Arial"/>
              </w:rPr>
              <w:t>is clear in its information to applicants or students in this category that their family or partner is not covered by the BU Accommodation Guarantee (</w:t>
            </w:r>
            <w:hyperlink r:id="rId10" w:history="1">
              <w:r w:rsidR="00D8672D" w:rsidRPr="00683CFD">
                <w:rPr>
                  <w:rStyle w:val="Hyperlink"/>
                  <w:rFonts w:ascii="PT Sans" w:hAnsi="PT Sans" w:cs="Arial"/>
                </w:rPr>
                <w:t>https://www1.bournemouth.ac.uk/why-bu/accommodation/essential-information/how-book-accommodation/terms-conditions-accommodation-guarantee</w:t>
              </w:r>
            </w:hyperlink>
            <w:r w:rsidR="00D8672D">
              <w:rPr>
                <w:rFonts w:ascii="PT Sans" w:hAnsi="PT Sans" w:cs="Arial"/>
              </w:rPr>
              <w:t xml:space="preserve"> ). BU </w:t>
            </w:r>
            <w:r w:rsidR="001E0B1B">
              <w:rPr>
                <w:rFonts w:ascii="PT Sans" w:hAnsi="PT Sans" w:cs="Arial"/>
              </w:rPr>
              <w:t>provides a specific web page with relevant accommodation related information for students with a family or partner</w:t>
            </w:r>
            <w:r w:rsidR="00D8672D">
              <w:rPr>
                <w:rFonts w:ascii="PT Sans" w:hAnsi="PT Sans" w:cs="Arial"/>
              </w:rPr>
              <w:t>s</w:t>
            </w:r>
            <w:r w:rsidR="001E0B1B">
              <w:rPr>
                <w:rFonts w:ascii="PT Sans" w:hAnsi="PT Sans" w:cs="Arial"/>
              </w:rPr>
              <w:t xml:space="preserve"> (</w:t>
            </w:r>
            <w:hyperlink r:id="rId11" w:history="1">
              <w:r w:rsidR="001E0B1B" w:rsidRPr="00683CFD">
                <w:rPr>
                  <w:rStyle w:val="Hyperlink"/>
                  <w:rFonts w:ascii="PT Sans" w:hAnsi="PT Sans" w:cs="Arial"/>
                </w:rPr>
                <w:t>https://www1.bournemouth.ac.uk/why-bu/accommodation/accommodation-specific-needs/accommodation-families-couples</w:t>
              </w:r>
            </w:hyperlink>
            <w:r w:rsidR="001E0B1B">
              <w:rPr>
                <w:rFonts w:ascii="PT Sans" w:hAnsi="PT Sans" w:cs="Arial"/>
              </w:rPr>
              <w:t xml:space="preserve"> ). BU has a small stock of accommodation that is suitable for students with a family or partner; this is prioritised over those without.</w:t>
            </w:r>
          </w:p>
          <w:p w:rsidR="001E0B1B" w:rsidRDefault="00D8672D" w:rsidP="001E0B1B">
            <w:pPr>
              <w:spacing w:after="0" w:line="240" w:lineRule="auto"/>
              <w:rPr>
                <w:rFonts w:ascii="PT Sans" w:hAnsi="PT Sans" w:cs="Arial"/>
              </w:rPr>
            </w:pPr>
            <w:r>
              <w:rPr>
                <w:rFonts w:ascii="PT Sans" w:hAnsi="PT Sans" w:cs="Arial"/>
              </w:rPr>
              <w:t>7.5 Pregnancy and maternity (including paternity) - BU is clear in its information to applicants or students in this category that their dependent(s) is/are not covered by the BU Accommodation Guarantee (</w:t>
            </w:r>
            <w:hyperlink r:id="rId12" w:history="1">
              <w:r w:rsidRPr="00683CFD">
                <w:rPr>
                  <w:rStyle w:val="Hyperlink"/>
                  <w:rFonts w:ascii="PT Sans" w:hAnsi="PT Sans" w:cs="Arial"/>
                </w:rPr>
                <w:t>https://www1.bournemouth.ac.uk/why-bu/accommodation/essential-information/how-book-accommodation/terms-conditions-accommodation-guarantee</w:t>
              </w:r>
            </w:hyperlink>
            <w:r>
              <w:rPr>
                <w:rFonts w:ascii="PT Sans" w:hAnsi="PT Sans" w:cs="Arial"/>
              </w:rPr>
              <w:t xml:space="preserve"> ). BU provides a specific web page with relevant accommodation related information for students with a family or partners (</w:t>
            </w:r>
            <w:hyperlink r:id="rId13" w:history="1">
              <w:r w:rsidRPr="00683CFD">
                <w:rPr>
                  <w:rStyle w:val="Hyperlink"/>
                  <w:rFonts w:ascii="PT Sans" w:hAnsi="PT Sans" w:cs="Arial"/>
                </w:rPr>
                <w:t>https://www1.bournemouth.ac.uk/why-bu/accommodation/accommodation-specific-needs/accommodation-families-couples</w:t>
              </w:r>
            </w:hyperlink>
            <w:r>
              <w:rPr>
                <w:rFonts w:ascii="PT Sans" w:hAnsi="PT Sans" w:cs="Arial"/>
              </w:rPr>
              <w:t xml:space="preserve"> ). BU has a small stock of accommodation that is suitable for students with dependent(s); this is prioritised over those without.</w:t>
            </w:r>
          </w:p>
          <w:p w:rsidR="00D8672D" w:rsidRDefault="00D8672D" w:rsidP="001E0B1B">
            <w:pPr>
              <w:spacing w:after="0" w:line="240" w:lineRule="auto"/>
              <w:rPr>
                <w:rFonts w:ascii="PT Sans" w:hAnsi="PT Sans" w:cs="Arial"/>
              </w:rPr>
            </w:pPr>
          </w:p>
          <w:p w:rsidR="001E0B1B" w:rsidRDefault="001E0B1B" w:rsidP="001E0B1B">
            <w:pPr>
              <w:spacing w:after="0" w:line="240" w:lineRule="auto"/>
              <w:rPr>
                <w:rFonts w:ascii="PT Sans" w:hAnsi="PT Sans" w:cs="Arial"/>
              </w:rPr>
            </w:pP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D96780">
            <w:pPr>
              <w:spacing w:after="0" w:line="240" w:lineRule="auto"/>
            </w:pPr>
            <w:r>
              <w:rPr>
                <w:rFonts w:ascii="PT Sans" w:hAnsi="PT Sans" w:cs="Arial"/>
                <w:b/>
              </w:rPr>
              <w:t>10.   Decision/Feedback/Approval</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E3759" w:rsidRDefault="008E3759" w:rsidP="00D96780">
            <w:pPr>
              <w:spacing w:after="0" w:line="240" w:lineRule="auto"/>
              <w:rPr>
                <w:rFonts w:ascii="Bitter" w:hAnsi="Bitter" w:cs="Arial"/>
                <w:sz w:val="20"/>
                <w:szCs w:val="20"/>
              </w:rPr>
            </w:pPr>
          </w:p>
        </w:tc>
      </w:tr>
      <w:tr w:rsidR="008E3759" w:rsidTr="008E3759">
        <w:tc>
          <w:tcPr>
            <w:tcW w:w="5098" w:type="dxa"/>
            <w:tcBorders>
              <w:top w:val="single" w:sz="4" w:space="0" w:color="auto"/>
              <w:left w:val="single" w:sz="4" w:space="0" w:color="000000"/>
              <w:bottom w:val="single" w:sz="4" w:space="0" w:color="000000"/>
              <w:right w:val="single" w:sz="4" w:space="0" w:color="000000"/>
            </w:tcBorders>
            <w:shd w:val="clear" w:color="auto" w:fill="FFFFFF"/>
          </w:tcPr>
          <w:p w:rsidR="008E3759" w:rsidRDefault="008E3759" w:rsidP="00D96780">
            <w:pPr>
              <w:spacing w:after="0" w:line="240" w:lineRule="auto"/>
              <w:ind w:left="98"/>
              <w:rPr>
                <w:rFonts w:ascii="PT Sans" w:hAnsi="PT Sans" w:cs="Arial"/>
                <w:sz w:val="20"/>
                <w:szCs w:val="20"/>
              </w:rPr>
            </w:pPr>
            <w:r>
              <w:rPr>
                <w:rFonts w:ascii="PT Sans" w:hAnsi="PT Sans" w:cs="Arial"/>
                <w:sz w:val="20"/>
                <w:szCs w:val="20"/>
              </w:rPr>
              <w:t xml:space="preserve">10.1 What is the analysis outcome? (See Table 1 to assist here) </w:t>
            </w:r>
          </w:p>
        </w:tc>
        <w:tc>
          <w:tcPr>
            <w:tcW w:w="1106" w:type="dxa"/>
            <w:tcBorders>
              <w:top w:val="single" w:sz="4" w:space="0" w:color="auto"/>
              <w:left w:val="single" w:sz="4" w:space="0" w:color="000000"/>
              <w:bottom w:val="single" w:sz="4" w:space="0" w:color="000000"/>
              <w:right w:val="single" w:sz="4" w:space="0" w:color="000000"/>
            </w:tcBorders>
            <w:shd w:val="clear" w:color="auto" w:fill="FFFFFF"/>
          </w:tcPr>
          <w:p w:rsidR="008E3759" w:rsidRDefault="008E3759" w:rsidP="00D96780">
            <w:pPr>
              <w:spacing w:after="0" w:line="240" w:lineRule="auto"/>
              <w:jc w:val="center"/>
              <w:rPr>
                <w:rFonts w:ascii="PT Sans" w:hAnsi="PT Sans" w:cs="Arial"/>
                <w:sz w:val="20"/>
                <w:szCs w:val="20"/>
              </w:rPr>
            </w:pPr>
            <w:r>
              <w:rPr>
                <w:rFonts w:ascii="PT Sans" w:hAnsi="PT Sans" w:cs="Arial"/>
                <w:sz w:val="20"/>
                <w:szCs w:val="20"/>
              </w:rPr>
              <w:t xml:space="preserve">Please </w:t>
            </w:r>
          </w:p>
          <w:p w:rsidR="008E3759" w:rsidRDefault="008E3759" w:rsidP="00D96780">
            <w:pPr>
              <w:spacing w:after="0" w:line="240" w:lineRule="auto"/>
              <w:jc w:val="center"/>
              <w:rPr>
                <w:rFonts w:ascii="PT Sans" w:hAnsi="PT Sans" w:cs="Arial"/>
                <w:sz w:val="20"/>
                <w:szCs w:val="20"/>
              </w:rPr>
            </w:pPr>
            <w:r>
              <w:rPr>
                <w:rFonts w:ascii="PT Sans" w:hAnsi="PT Sans" w:cs="Arial"/>
                <w:sz w:val="20"/>
                <w:szCs w:val="20"/>
              </w:rPr>
              <w:t>circle</w:t>
            </w:r>
          </w:p>
        </w:tc>
        <w:tc>
          <w:tcPr>
            <w:tcW w:w="1021" w:type="dxa"/>
            <w:tcBorders>
              <w:top w:val="single" w:sz="4" w:space="0" w:color="auto"/>
              <w:left w:val="single" w:sz="4" w:space="0" w:color="000000"/>
              <w:bottom w:val="single" w:sz="4" w:space="0" w:color="000000"/>
              <w:right w:val="single" w:sz="4" w:space="0" w:color="000000"/>
            </w:tcBorders>
            <w:shd w:val="clear" w:color="auto" w:fill="FFFFFF"/>
          </w:tcPr>
          <w:p w:rsidR="008E3759" w:rsidRPr="00D8672D" w:rsidRDefault="008E3759" w:rsidP="00D96780">
            <w:pPr>
              <w:spacing w:after="0" w:line="240" w:lineRule="auto"/>
              <w:ind w:left="67"/>
              <w:jc w:val="center"/>
              <w:rPr>
                <w:rFonts w:ascii="PT Sans" w:hAnsi="PT Sans" w:cs="Arial"/>
                <w:b/>
                <w:u w:val="single"/>
              </w:rPr>
            </w:pPr>
            <w:r w:rsidRPr="00D8672D">
              <w:rPr>
                <w:rFonts w:ascii="PT Sans" w:hAnsi="PT Sans" w:cs="Arial"/>
                <w:b/>
                <w:u w:val="single"/>
              </w:rPr>
              <w:t>Level 1</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E3759" w:rsidRDefault="008E3759" w:rsidP="00D96780">
            <w:pPr>
              <w:spacing w:after="0" w:line="240" w:lineRule="auto"/>
              <w:ind w:left="197"/>
              <w:jc w:val="center"/>
              <w:rPr>
                <w:rFonts w:ascii="PT Sans" w:hAnsi="PT Sans" w:cs="Arial"/>
                <w:sz w:val="20"/>
                <w:szCs w:val="20"/>
              </w:rPr>
            </w:pPr>
            <w:r>
              <w:rPr>
                <w:rFonts w:ascii="PT Sans" w:hAnsi="PT Sans" w:cs="Arial"/>
                <w:sz w:val="20"/>
                <w:szCs w:val="20"/>
              </w:rPr>
              <w:t>Level 2</w:t>
            </w:r>
          </w:p>
        </w:tc>
        <w:tc>
          <w:tcPr>
            <w:tcW w:w="1040"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8E3759" w:rsidRDefault="008E3759" w:rsidP="00D96780">
            <w:pPr>
              <w:spacing w:after="0" w:line="240" w:lineRule="auto"/>
              <w:jc w:val="center"/>
              <w:rPr>
                <w:rFonts w:ascii="PT Sans" w:hAnsi="PT Sans" w:cs="Arial"/>
                <w:sz w:val="20"/>
                <w:szCs w:val="20"/>
              </w:rPr>
            </w:pPr>
            <w:r>
              <w:rPr>
                <w:rFonts w:ascii="PT Sans" w:hAnsi="PT Sans" w:cs="Arial"/>
                <w:sz w:val="20"/>
                <w:szCs w:val="20"/>
              </w:rPr>
              <w:t>Level 3</w:t>
            </w:r>
          </w:p>
        </w:tc>
        <w:tc>
          <w:tcPr>
            <w:tcW w:w="945" w:type="dxa"/>
            <w:tcBorders>
              <w:top w:val="single" w:sz="4" w:space="0" w:color="auto"/>
              <w:left w:val="single" w:sz="4" w:space="0" w:color="auto"/>
              <w:bottom w:val="single" w:sz="4" w:space="0" w:color="auto"/>
              <w:right w:val="single" w:sz="4" w:space="0" w:color="000000"/>
            </w:tcBorders>
            <w:shd w:val="clear" w:color="auto" w:fill="FFFFFF"/>
          </w:tcPr>
          <w:p w:rsidR="008E3759" w:rsidRDefault="008E3759" w:rsidP="00D96780">
            <w:pPr>
              <w:spacing w:after="0" w:line="240" w:lineRule="auto"/>
              <w:jc w:val="center"/>
              <w:rPr>
                <w:rFonts w:ascii="PT Sans" w:hAnsi="PT Sans" w:cs="Arial"/>
                <w:sz w:val="20"/>
                <w:szCs w:val="20"/>
              </w:rPr>
            </w:pPr>
            <w:r>
              <w:rPr>
                <w:rFonts w:ascii="PT Sans" w:hAnsi="PT Sans" w:cs="Arial"/>
                <w:sz w:val="20"/>
                <w:szCs w:val="20"/>
              </w:rPr>
              <w:t>Level 4</w:t>
            </w:r>
          </w:p>
        </w:tc>
      </w:tr>
      <w:tr w:rsidR="008E3759" w:rsidTr="008E3759">
        <w:tc>
          <w:tcPr>
            <w:tcW w:w="509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D96780">
            <w:pPr>
              <w:spacing w:after="0" w:line="240" w:lineRule="auto"/>
              <w:rPr>
                <w:rFonts w:ascii="PT Sans" w:hAnsi="PT Sans" w:cs="Arial"/>
                <w:sz w:val="20"/>
                <w:szCs w:val="20"/>
              </w:rPr>
            </w:pPr>
            <w:r>
              <w:rPr>
                <w:rFonts w:ascii="PT Sans" w:hAnsi="PT Sans" w:cs="Arial"/>
                <w:sz w:val="20"/>
                <w:szCs w:val="20"/>
              </w:rPr>
              <w:t>10.2 Have you consulted with EDSG?</w:t>
            </w:r>
          </w:p>
        </w:tc>
        <w:tc>
          <w:tcPr>
            <w:tcW w:w="4962"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E3759" w:rsidRDefault="00D8672D" w:rsidP="00D96780">
            <w:pPr>
              <w:spacing w:after="0" w:line="240" w:lineRule="auto"/>
              <w:jc w:val="center"/>
              <w:rPr>
                <w:rFonts w:ascii="PT Sans" w:hAnsi="PT Sans" w:cs="Arial"/>
                <w:sz w:val="20"/>
                <w:szCs w:val="20"/>
              </w:rPr>
            </w:pPr>
            <w:r>
              <w:rPr>
                <w:rFonts w:ascii="PT Sans" w:hAnsi="PT Sans" w:cs="Arial"/>
                <w:sz w:val="20"/>
                <w:szCs w:val="20"/>
              </w:rPr>
              <w:t>No</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D96780">
            <w:pPr>
              <w:spacing w:after="0" w:line="240" w:lineRule="auto"/>
              <w:rPr>
                <w:rFonts w:ascii="PT Sans" w:hAnsi="PT Sans" w:cs="Arial"/>
                <w:sz w:val="20"/>
                <w:szCs w:val="20"/>
              </w:rPr>
            </w:pPr>
            <w:r>
              <w:rPr>
                <w:rFonts w:ascii="PT Sans" w:hAnsi="PT Sans" w:cs="Arial"/>
                <w:sz w:val="20"/>
                <w:szCs w:val="20"/>
              </w:rPr>
              <w:t>10.3 When will the analysis be reported to EDSG?</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E3759" w:rsidRDefault="00D8672D" w:rsidP="00D96780">
            <w:pPr>
              <w:spacing w:after="0" w:line="240" w:lineRule="auto"/>
              <w:ind w:left="219"/>
              <w:jc w:val="center"/>
              <w:rPr>
                <w:rFonts w:ascii="PT Sans" w:hAnsi="PT Sans" w:cs="Arial"/>
                <w:sz w:val="20"/>
                <w:szCs w:val="20"/>
              </w:rPr>
            </w:pPr>
            <w:r>
              <w:rPr>
                <w:rFonts w:ascii="PT Sans" w:hAnsi="PT Sans" w:cs="Arial"/>
                <w:sz w:val="20"/>
                <w:szCs w:val="20"/>
              </w:rPr>
              <w:t>Once approved by ASG</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D96780">
            <w:pPr>
              <w:spacing w:after="0" w:line="240" w:lineRule="auto"/>
            </w:pPr>
            <w:r>
              <w:rPr>
                <w:rFonts w:ascii="PT Sans" w:hAnsi="PT Sans" w:cs="Arial"/>
                <w:sz w:val="20"/>
                <w:szCs w:val="20"/>
              </w:rPr>
              <w:t>10.4 Which Committee will approve the analysis?</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E3759" w:rsidRDefault="00D8672D" w:rsidP="00D8672D">
            <w:pPr>
              <w:spacing w:after="0" w:line="240" w:lineRule="auto"/>
              <w:jc w:val="center"/>
              <w:rPr>
                <w:rFonts w:ascii="PT Sans" w:hAnsi="PT Sans" w:cs="Arial"/>
                <w:sz w:val="20"/>
                <w:szCs w:val="20"/>
              </w:rPr>
            </w:pPr>
            <w:r>
              <w:rPr>
                <w:rFonts w:ascii="PT Sans" w:hAnsi="PT Sans" w:cs="Arial"/>
                <w:sz w:val="20"/>
                <w:szCs w:val="20"/>
              </w:rPr>
              <w:t>ASG</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D96780">
            <w:pPr>
              <w:spacing w:after="0" w:line="240" w:lineRule="auto"/>
              <w:rPr>
                <w:rFonts w:ascii="PT Sans" w:hAnsi="PT Sans" w:cs="Arial"/>
                <w:sz w:val="20"/>
                <w:szCs w:val="20"/>
              </w:rPr>
            </w:pPr>
            <w:r>
              <w:rPr>
                <w:rFonts w:ascii="PT Sans" w:hAnsi="PT Sans" w:cs="Arial"/>
                <w:sz w:val="20"/>
                <w:szCs w:val="20"/>
              </w:rPr>
              <w:t>10.5 Date of approval</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E3759" w:rsidRDefault="000356D6" w:rsidP="000356D6">
            <w:pPr>
              <w:spacing w:after="0" w:line="240" w:lineRule="auto"/>
              <w:jc w:val="center"/>
              <w:rPr>
                <w:rFonts w:ascii="PT Sans" w:hAnsi="PT Sans" w:cs="Arial"/>
                <w:sz w:val="20"/>
                <w:szCs w:val="20"/>
              </w:rPr>
            </w:pPr>
            <w:r>
              <w:rPr>
                <w:rFonts w:ascii="PT Sans" w:hAnsi="PT Sans" w:cs="Arial"/>
                <w:sz w:val="20"/>
                <w:szCs w:val="20"/>
              </w:rPr>
              <w:t>Friday 10</w:t>
            </w:r>
            <w:r w:rsidRPr="000356D6">
              <w:rPr>
                <w:rFonts w:ascii="PT Sans" w:hAnsi="PT Sans" w:cs="Arial"/>
                <w:sz w:val="20"/>
                <w:szCs w:val="20"/>
                <w:vertAlign w:val="superscript"/>
              </w:rPr>
              <w:t>th</w:t>
            </w:r>
            <w:r>
              <w:rPr>
                <w:rFonts w:ascii="PT Sans" w:hAnsi="PT Sans" w:cs="Arial"/>
                <w:sz w:val="20"/>
                <w:szCs w:val="20"/>
              </w:rPr>
              <w:t xml:space="preserve"> November 2017</w:t>
            </w:r>
          </w:p>
        </w:tc>
      </w:tr>
      <w:tr w:rsidR="008E3759" w:rsidTr="008E3759">
        <w:tc>
          <w:tcPr>
            <w:tcW w:w="5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3759" w:rsidRDefault="008E3759" w:rsidP="00D96780">
            <w:pPr>
              <w:spacing w:after="0" w:line="240" w:lineRule="auto"/>
              <w:rPr>
                <w:rFonts w:ascii="PT Sans" w:hAnsi="PT Sans" w:cs="Arial"/>
                <w:sz w:val="20"/>
                <w:szCs w:val="20"/>
              </w:rPr>
            </w:pPr>
            <w:r>
              <w:rPr>
                <w:rFonts w:ascii="PT Sans" w:hAnsi="PT Sans" w:cs="Arial"/>
                <w:sz w:val="20"/>
                <w:szCs w:val="20"/>
              </w:rPr>
              <w:t xml:space="preserve">10.6 When and how will the analysis be reviewed? </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8E3759" w:rsidRDefault="000356D6" w:rsidP="000356D6">
            <w:pPr>
              <w:spacing w:after="0" w:line="240" w:lineRule="auto"/>
              <w:jc w:val="center"/>
              <w:rPr>
                <w:rFonts w:ascii="PT Sans" w:hAnsi="PT Sans" w:cs="Arial"/>
                <w:sz w:val="20"/>
                <w:szCs w:val="20"/>
              </w:rPr>
            </w:pPr>
            <w:r>
              <w:rPr>
                <w:rFonts w:ascii="PT Sans" w:hAnsi="PT Sans" w:cs="Arial"/>
                <w:sz w:val="20"/>
                <w:szCs w:val="20"/>
              </w:rPr>
              <w:t>In Oct/Nov 2018 when the Booking Policy is reviewed again.</w:t>
            </w:r>
            <w:bookmarkStart w:id="0" w:name="_GoBack"/>
            <w:bookmarkEnd w:id="0"/>
          </w:p>
        </w:tc>
      </w:tr>
    </w:tbl>
    <w:p w:rsidR="008E3759" w:rsidRDefault="008E3759" w:rsidP="008E3759"/>
    <w:p w:rsidR="002E3037" w:rsidRDefault="002E3037"/>
    <w:sectPr w:rsidR="002E30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59" w:rsidRDefault="008E3759" w:rsidP="008E3759">
      <w:pPr>
        <w:spacing w:after="0" w:line="240" w:lineRule="auto"/>
      </w:pPr>
      <w:r>
        <w:separator/>
      </w:r>
    </w:p>
  </w:endnote>
  <w:endnote w:type="continuationSeparator" w:id="0">
    <w:p w:rsidR="008E3759" w:rsidRDefault="008E3759" w:rsidP="008E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ter">
    <w:panose1 w:val="000000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59" w:rsidRDefault="008E3759" w:rsidP="008E3759">
      <w:pPr>
        <w:spacing w:after="0" w:line="240" w:lineRule="auto"/>
      </w:pPr>
      <w:r>
        <w:separator/>
      </w:r>
    </w:p>
  </w:footnote>
  <w:footnote w:type="continuationSeparator" w:id="0">
    <w:p w:rsidR="008E3759" w:rsidRDefault="008E3759" w:rsidP="008E3759">
      <w:pPr>
        <w:spacing w:after="0" w:line="240" w:lineRule="auto"/>
      </w:pPr>
      <w:r>
        <w:continuationSeparator/>
      </w:r>
    </w:p>
  </w:footnote>
  <w:footnote w:id="1">
    <w:p w:rsidR="008E3759" w:rsidRPr="003C63B2" w:rsidRDefault="008E3759" w:rsidP="008E3759">
      <w:pPr>
        <w:pStyle w:val="FootnoteText"/>
        <w:rPr>
          <w:rFonts w:ascii="PT Sans" w:hAnsi="PT Sans"/>
        </w:rPr>
      </w:pPr>
      <w:r w:rsidRPr="003C63B2">
        <w:rPr>
          <w:rStyle w:val="FootnoteReference"/>
          <w:rFonts w:ascii="PT Sans" w:hAnsi="PT Sans"/>
        </w:rPr>
        <w:footnoteRef/>
      </w:r>
      <w:r w:rsidRPr="003C63B2">
        <w:rPr>
          <w:rFonts w:ascii="PT Sans" w:hAnsi="PT Sans"/>
          <w:sz w:val="16"/>
          <w:szCs w:val="16"/>
        </w:rPr>
        <w:t xml:space="preserve"> Marriage and civil partnership are protected under the legislation but only for the need to eliminate unlawful discrimination in employment.</w:t>
      </w:r>
    </w:p>
  </w:footnote>
  <w:footnote w:id="2">
    <w:p w:rsidR="008E3759" w:rsidRPr="003C63B2" w:rsidRDefault="008E3759" w:rsidP="008E3759">
      <w:pPr>
        <w:pStyle w:val="FootnoteText"/>
        <w:rPr>
          <w:rFonts w:ascii="PT Sans" w:hAnsi="PT Sans"/>
        </w:rPr>
      </w:pPr>
      <w:r w:rsidRPr="003C63B2">
        <w:rPr>
          <w:rStyle w:val="FootnoteReference"/>
          <w:rFonts w:ascii="PT Sans" w:hAnsi="PT Sans"/>
        </w:rPr>
        <w:footnoteRef/>
      </w:r>
      <w:r w:rsidRPr="003C63B2">
        <w:rPr>
          <w:rFonts w:ascii="PT Sans" w:hAnsi="PT Sans"/>
          <w:sz w:val="16"/>
          <w:szCs w:val="16"/>
        </w:rPr>
        <w:t xml:space="preserve"> Please see footnote 1.</w:t>
      </w:r>
      <w:r w:rsidRPr="003C63B2">
        <w:rPr>
          <w:rFonts w:ascii="PT Sans" w:hAnsi="PT San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D5397"/>
    <w:multiLevelType w:val="multilevel"/>
    <w:tmpl w:val="0980EA6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59"/>
    <w:rsid w:val="000356D6"/>
    <w:rsid w:val="001E0B1B"/>
    <w:rsid w:val="002E3037"/>
    <w:rsid w:val="003E6EE3"/>
    <w:rsid w:val="0054333B"/>
    <w:rsid w:val="008E3759"/>
    <w:rsid w:val="00B01ED9"/>
    <w:rsid w:val="00C14E9D"/>
    <w:rsid w:val="00D8672D"/>
    <w:rsid w:val="00D95373"/>
    <w:rsid w:val="00E2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heme="minorHAnsi" w:hAnsi="PT Sans"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3759"/>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E3759"/>
    <w:pPr>
      <w:ind w:left="720"/>
    </w:pPr>
  </w:style>
  <w:style w:type="paragraph" w:styleId="FootnoteText">
    <w:name w:val="footnote text"/>
    <w:basedOn w:val="Normal"/>
    <w:link w:val="FootnoteTextChar"/>
    <w:rsid w:val="008E3759"/>
    <w:pPr>
      <w:spacing w:after="0" w:line="240" w:lineRule="auto"/>
    </w:pPr>
    <w:rPr>
      <w:sz w:val="20"/>
      <w:szCs w:val="20"/>
    </w:rPr>
  </w:style>
  <w:style w:type="character" w:customStyle="1" w:styleId="FootnoteTextChar">
    <w:name w:val="Footnote Text Char"/>
    <w:basedOn w:val="DefaultParagraphFont"/>
    <w:link w:val="FootnoteText"/>
    <w:rsid w:val="008E3759"/>
    <w:rPr>
      <w:rFonts w:ascii="Calibri" w:eastAsia="Calibri" w:hAnsi="Calibri" w:cs="Times New Roman"/>
      <w:sz w:val="20"/>
      <w:szCs w:val="20"/>
    </w:rPr>
  </w:style>
  <w:style w:type="character" w:styleId="FootnoteReference">
    <w:name w:val="footnote reference"/>
    <w:basedOn w:val="DefaultParagraphFont"/>
    <w:rsid w:val="008E3759"/>
    <w:rPr>
      <w:position w:val="0"/>
      <w:vertAlign w:val="superscript"/>
    </w:rPr>
  </w:style>
  <w:style w:type="character" w:customStyle="1" w:styleId="ListParagraphChar">
    <w:name w:val="List Paragraph Char"/>
    <w:link w:val="ListParagraph"/>
    <w:uiPriority w:val="99"/>
    <w:locked/>
    <w:rsid w:val="008E3759"/>
    <w:rPr>
      <w:rFonts w:ascii="Calibri" w:eastAsia="Calibri" w:hAnsi="Calibri" w:cs="Times New Roman"/>
    </w:rPr>
  </w:style>
  <w:style w:type="character" w:styleId="Hyperlink">
    <w:name w:val="Hyperlink"/>
    <w:basedOn w:val="DefaultParagraphFont"/>
    <w:uiPriority w:val="99"/>
    <w:unhideWhenUsed/>
    <w:rsid w:val="001E0B1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heme="minorHAnsi" w:hAnsi="PT Sans"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3759"/>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E3759"/>
    <w:pPr>
      <w:ind w:left="720"/>
    </w:pPr>
  </w:style>
  <w:style w:type="paragraph" w:styleId="FootnoteText">
    <w:name w:val="footnote text"/>
    <w:basedOn w:val="Normal"/>
    <w:link w:val="FootnoteTextChar"/>
    <w:rsid w:val="008E3759"/>
    <w:pPr>
      <w:spacing w:after="0" w:line="240" w:lineRule="auto"/>
    </w:pPr>
    <w:rPr>
      <w:sz w:val="20"/>
      <w:szCs w:val="20"/>
    </w:rPr>
  </w:style>
  <w:style w:type="character" w:customStyle="1" w:styleId="FootnoteTextChar">
    <w:name w:val="Footnote Text Char"/>
    <w:basedOn w:val="DefaultParagraphFont"/>
    <w:link w:val="FootnoteText"/>
    <w:rsid w:val="008E3759"/>
    <w:rPr>
      <w:rFonts w:ascii="Calibri" w:eastAsia="Calibri" w:hAnsi="Calibri" w:cs="Times New Roman"/>
      <w:sz w:val="20"/>
      <w:szCs w:val="20"/>
    </w:rPr>
  </w:style>
  <w:style w:type="character" w:styleId="FootnoteReference">
    <w:name w:val="footnote reference"/>
    <w:basedOn w:val="DefaultParagraphFont"/>
    <w:rsid w:val="008E3759"/>
    <w:rPr>
      <w:position w:val="0"/>
      <w:vertAlign w:val="superscript"/>
    </w:rPr>
  </w:style>
  <w:style w:type="character" w:customStyle="1" w:styleId="ListParagraphChar">
    <w:name w:val="List Paragraph Char"/>
    <w:link w:val="ListParagraph"/>
    <w:uiPriority w:val="99"/>
    <w:locked/>
    <w:rsid w:val="008E3759"/>
    <w:rPr>
      <w:rFonts w:ascii="Calibri" w:eastAsia="Calibri" w:hAnsi="Calibri" w:cs="Times New Roman"/>
    </w:rPr>
  </w:style>
  <w:style w:type="character" w:styleId="Hyperlink">
    <w:name w:val="Hyperlink"/>
    <w:basedOn w:val="DefaultParagraphFont"/>
    <w:uiPriority w:val="99"/>
    <w:unhideWhenUsed/>
    <w:rsid w:val="001E0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bournemouth.ac.uk/why-bu/accommodation/accommodation-specific-needs/accommodation-students-under-18-years-age" TargetMode="External"/><Relationship Id="rId13" Type="http://schemas.openxmlformats.org/officeDocument/2006/relationships/hyperlink" Target="https://www1.bournemouth.ac.uk/why-bu/accommodation/accommodation-specific-needs/accommodation-families-couples"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1.bournemouth.ac.uk/why-bu/accommodation/essential-information/how-book-accommodation/terms-conditions-accommodation-guarante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1.bournemouth.ac.uk/why-bu/accommodation/accommodation-specific-needs/accommodation-families-coup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1.bournemouth.ac.uk/why-bu/accommodation/essential-information/how-book-accommodation/terms-conditions-accommodation-guarante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1.bournemouth.ac.uk/why-bu/accommodation/accommodation-specific-needs/accessible-accommod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D259749B-A2FA-4762-BAAE-748A846B9902" xsi:nil="true"/>
    <Author0 xmlns="D259749B-A2FA-4762-BAAE-748A846B9902">
      <UserInfo>
        <DisplayName/>
        <AccountId xsi:nil="true"/>
        <AccountType/>
      </UserInfo>
    </Author0>
    <Target_x0020_Audiences xmlns="D259749B-A2FA-4762-BAAE-748A846B9902" xsi:nil="true"/>
    <_dlc_DocId xmlns="7845b4e5-581f-4554-8843-a411c9829904">ZXDD766ENQDJ-737846793-2776</_dlc_DocId>
    <School_x002f_PS xmlns="D259749B-A2FA-4762-BAAE-748A846B9902">
      <Value>18</Value>
    </School_x002f_PS>
    <Expiry_x0020_Date xmlns="D259749B-A2FA-4762-BAAE-748A846B9902" xsi:nil="true"/>
    <Published_x0020_Date xmlns="D259749B-A2FA-4762-BAAE-748A846B9902">2017-12-20T00:00:00+00:00</Published_x0020_Date>
    <_dlc_DocIdUrl xmlns="7845b4e5-581f-4554-8843-a411c9829904">
      <Url>https://intranetsp.bournemouth.ac.uk/_layouts/15/DocIdRedir.aspx?ID=ZXDD766ENQDJ-737846793-2776</Url>
      <Description>ZXDD766ENQDJ-737846793-2776</Description>
    </_dlc_DocIdUrl>
    <_Status xmlns="http://schemas.microsoft.com/sharepoint/v3/fields" xsi:nil="true"/>
  </documentManagement>
</p:properties>
</file>

<file path=customXml/itemProps1.xml><?xml version="1.0" encoding="utf-8"?>
<ds:datastoreItem xmlns:ds="http://schemas.openxmlformats.org/officeDocument/2006/customXml" ds:itemID="{28128CB0-7A03-4B07-B9AD-DA76D4F4E7BB}"/>
</file>

<file path=customXml/itemProps2.xml><?xml version="1.0" encoding="utf-8"?>
<ds:datastoreItem xmlns:ds="http://schemas.openxmlformats.org/officeDocument/2006/customXml" ds:itemID="{225021A5-8270-4645-88DF-C7D7E53D83A0}"/>
</file>

<file path=customXml/itemProps3.xml><?xml version="1.0" encoding="utf-8"?>
<ds:datastoreItem xmlns:ds="http://schemas.openxmlformats.org/officeDocument/2006/customXml" ds:itemID="{4F080268-522D-4F11-B02B-3ECC54F4DF5D}"/>
</file>

<file path=customXml/itemProps4.xml><?xml version="1.0" encoding="utf-8"?>
<ds:datastoreItem xmlns:ds="http://schemas.openxmlformats.org/officeDocument/2006/customXml" ds:itemID="{8BB77922-4296-49DF-9C5F-145D13A64B2D}"/>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Palfreman-Kay</dc:creator>
  <cp:keywords/>
  <cp:lastModifiedBy>Robin,Walsh</cp:lastModifiedBy>
  <cp:revision>2</cp:revision>
  <dcterms:created xsi:type="dcterms:W3CDTF">2017-11-17T13:23:00Z</dcterms:created>
  <dcterms:modified xsi:type="dcterms:W3CDTF">2017-11-17T13:23:00Z</dcterms:modified>
  <cp:contentStatus>Diversity and Equality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23302384-5d44-40e6-9ae1-eb0a43cbef4f</vt:lpwstr>
  </property>
  <property fmtid="{D5CDD505-2E9C-101B-9397-08002B2CF9AE}" pid="3" name="ContentTypeId">
    <vt:lpwstr>0x010100FE4C4781120F6B419EF128C5DE6313FB</vt:lpwstr>
  </property>
</Properties>
</file>